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естественно-научного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3E2AB0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7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3010D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9F7269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Генетика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2E27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3010D4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1 года  (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11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Уварова А.И.</w:t>
      </w: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биологии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9F7269">
        <w:rPr>
          <w:rFonts w:ascii="Times New Roman" w:eastAsia="OfficinaSansBoldITC" w:hAnsi="Times New Roman"/>
          <w:b/>
          <w:sz w:val="26"/>
          <w:szCs w:val="26"/>
        </w:rPr>
        <w:lastRenderedPageBreak/>
        <w:t xml:space="preserve">I.Содержание обучения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Модуль 1. Нуклеиновые кислоты – основа наследственности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Материал наследственности – нуклеиновые кислоты. ДНК– дезоксирибонуклеиновая кислота.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Генетический код. Гены. Геном. РНК рибонуклеиновые кислоты.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2. Локализация наследственной информации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Хранение наследств</w:t>
      </w:r>
      <w:r>
        <w:rPr>
          <w:rFonts w:ascii="Times New Roman" w:eastAsia="SchoolBookSanPin" w:hAnsi="Times New Roman"/>
          <w:sz w:val="26"/>
          <w:szCs w:val="26"/>
          <w:lang w:eastAsia="x-none"/>
        </w:rPr>
        <w:t xml:space="preserve">енной информации у прокариот. </w:t>
      </w: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Хранение наследственной информации у эукариот. Жизненный цикл клетки.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Регуляция жизненного цикла клеток многоклеточного организма.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Модуль 3. Реализация наследственной информации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 Анаболизм. Регуляция активности генов эукариот. Инициация транскрипции генов эукариот.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Синтез белка. Типовые задачи по молекулярной генетике. Вирусы.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4. Генетика развития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Образование и развитие половых клеток у животных. Значение половых клеток. Дробление. Мозаичный и регуляционный типы развития. История представлений о регуляции эмбриогенеза. Морфогенетические поля. Генетика начальных этапов развития. Особенности генетики начальных этапов развития у млекопитающих.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5. Молекулярно-генетические методы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Выделение и очистка нуклеиновых кислот. Электрофорез нуклеиновых кислот. Рестриктазы и рестрикционный анализ. Гибридизация нуклеиновых кислот. Полимеразная цепная реакция (ПЦР). Количественная полимеразная цепная реакция (ПЦР). Секвенирование – определение последовательности нуклеиновых кислот.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6. Секвенирование нового поколения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Общие принципы секвенирования нового поколения. Технологии высоко производительного секвен</w:t>
      </w:r>
      <w:r>
        <w:rPr>
          <w:rFonts w:ascii="Times New Roman" w:eastAsia="SchoolBookSanPin" w:hAnsi="Times New Roman"/>
          <w:sz w:val="26"/>
          <w:szCs w:val="26"/>
          <w:lang w:eastAsia="x-none"/>
        </w:rPr>
        <w:t>ирования. Задачи</w:t>
      </w:r>
      <w:r>
        <w:rPr>
          <w:rFonts w:ascii="Times New Roman" w:eastAsia="SchoolBookSanPin" w:hAnsi="Times New Roman"/>
          <w:sz w:val="26"/>
          <w:szCs w:val="26"/>
          <w:lang w:eastAsia="x-none"/>
        </w:rPr>
        <w:tab/>
        <w:t xml:space="preserve">секвенирования нового поколения и методы </w:t>
      </w: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их решения:   секвенирование генома. Задачи секвенирования нового поколения и методы их решения: анализ транскриптомов и другие области применения.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>Модуль 7. Генная инженерия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Что такое генная инженерия. Получение  рекомбинантных ДНК. Получение необходимых фрагментов ДНК, выделение генов. Доставка рекомбинантной ДНК в клетку. Векторы для генной инженерии: какие они бывают. Способы редактирования генома. Нокаут и нокдаун генов.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8. Генетика человека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Методы генетики человека. Наследственные заболевания и их классификация. Генетические методы в исследовании наследственных заболеваний. Генные болезни. Хромосомные болезни.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Профилактика, диагностика и лечение наследственных заболеваний.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 xml:space="preserve">Модуль 9. Генетика спорта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Проблемы и задачи генетики спорта. Известные «гены спортивных достижений» и механизм их действия. Методы генетики спорта.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9F7269">
        <w:rPr>
          <w:rFonts w:ascii="Times New Roman" w:eastAsia="OfficinaSansBoldITC" w:hAnsi="Times New Roman"/>
          <w:b/>
          <w:sz w:val="26"/>
          <w:szCs w:val="26"/>
        </w:rPr>
        <w:t>II.Планируемые результаты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i/>
          <w:i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i/>
          <w:iCs/>
          <w:sz w:val="26"/>
          <w:szCs w:val="26"/>
          <w:lang w:eastAsia="x-none"/>
        </w:rPr>
        <w:t>Личностные результаты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Личностные результаты освоения учебного курса «Генетика» соответствуют традиционным российским социокультурным и духовно- нравственным ценностям и предусматривают готовность обучающихся к саморазвитию, самостоятельности и личностному самоопределению, наличие мотивации к целенаправленной социально-значимой деятельности, сформированность внутренней позиции личности как особо </w:t>
      </w: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lastRenderedPageBreak/>
        <w:t>ценностного отношения к себе, к людям, к жизни, к окружающей природной среде. Личностные результаты отражают сформированность патриотического, гражданского, трудового, экологического воспитания, ценности научного познания и культуры здоровья.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t>Метапредметные результаты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u w:val="single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u w:val="single"/>
          <w:lang w:eastAsia="x-none"/>
        </w:rPr>
        <w:t xml:space="preserve">  Познавательные универсальные учебные действия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i/>
          <w:sz w:val="26"/>
          <w:szCs w:val="26"/>
          <w:lang w:eastAsia="x-none"/>
        </w:rPr>
        <w:t xml:space="preserve">  Базовые логические действия: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умение использовать при освоении знаний приемы логического мышления (анализ, синтез, классификация, обобщение), раскрывать смысл ключевых генетических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составляющих основу генетических исследований; строить логические рассуждения (индуктивные, дедуктивные, по аналогии), делать выводы изаключения;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использовать различные модельно-схематические средства для представления существенных связей и отношений в изучаемых объектах, а также противоречий разного рода, выявленных в информационных источниках;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i/>
          <w:sz w:val="26"/>
          <w:szCs w:val="26"/>
          <w:lang w:eastAsia="x-none"/>
        </w:rPr>
        <w:t>Базовые исследовательские действия: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умений при организации и проведении учебно-исследовательской и проектной деятельности по генетике: выявлять иформулировать проблему, ставить вопросы, выдвигать гипотезу, давать определения понятиям, систематизировать и структурировать материал; наблюдать, проводить эксперименты, делать выводы и заключения, анализировать собственную позицию; относительно достоверности получаемыхв ходе эксперимента результатов;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i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i/>
          <w:sz w:val="26"/>
          <w:szCs w:val="26"/>
          <w:lang w:eastAsia="x-none"/>
        </w:rPr>
        <w:t>Работа с информацией: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вести поиск информации в различных источниках (тексте учебного пособия, научно-популярной литературе, биологических словарях и справочниках, компьютерных базах данных, в Интернете), анализировать, оценивать информацию и по мере необходимости преобразовывать еѐ; приобретение опыта использования информационно-коммуникационных технологий, совершенствование культуры активногоиспользования различных поисковых систем;умение   использовать    и    анализировать    в    процессе    учебной исследовательской деятельности получаемую информацию в целях прогнозирования распространенности наследственных заболеваний в последующих поколениях;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u w:val="single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u w:val="single"/>
          <w:lang w:eastAsia="x-none"/>
        </w:rPr>
        <w:t>Коммуникативные универсальные</w:t>
      </w: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 </w:t>
      </w:r>
      <w:r w:rsidRPr="009F7269">
        <w:rPr>
          <w:rFonts w:ascii="Times New Roman" w:eastAsia="SchoolBookSanPin" w:hAnsi="Times New Roman"/>
          <w:sz w:val="26"/>
          <w:szCs w:val="26"/>
          <w:u w:val="single"/>
          <w:lang w:eastAsia="x-none"/>
        </w:rPr>
        <w:t>учебные действия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 xml:space="preserve">умение принимать активное участие в диалоге или дискуссии по существу обсуждаемой темы (задавать вопросы, высказывать суждения относительного выполнения предлагаемой задачи, учитывать интересы и согласованность позиций других участников дискуссии); приобретение опыта презентации выполненного эксперимента, учебного проекта; 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u w:val="single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u w:val="single"/>
          <w:lang w:eastAsia="x-none"/>
        </w:rPr>
        <w:t>Регулятивные универсальные учебные действия</w:t>
      </w:r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свою деятельность; использовать все возможные ресурсы для достижения поставленных целей; корректировать предложенный алгоритм действий при выполнении заданий с учетом новых знаний об изучаемых объектах;умения выбирать на основе генетических знаний целевые и смысловые установки в своих действиях и поступках по от-ношению к живой природе, своему здоровью и здоровью окружающих .</w:t>
      </w:r>
    </w:p>
    <w:p w:rsidR="009F7269" w:rsidRPr="009F7269" w:rsidRDefault="009F7269" w:rsidP="009F7269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bCs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bCs/>
          <w:sz w:val="26"/>
          <w:szCs w:val="26"/>
          <w:lang w:eastAsia="x-none"/>
        </w:rPr>
        <w:lastRenderedPageBreak/>
        <w:t>Предметные результаты</w:t>
      </w:r>
    </w:p>
    <w:p w:rsidR="009F7269" w:rsidRPr="009F7269" w:rsidRDefault="009F7269" w:rsidP="009F7269">
      <w:pPr>
        <w:keepNext/>
        <w:keepLines/>
        <w:widowControl w:val="0"/>
        <w:numPr>
          <w:ilvl w:val="1"/>
          <w:numId w:val="62"/>
        </w:numPr>
        <w:tabs>
          <w:tab w:val="left" w:pos="128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освоение обучающимися научных знаний, умений и способов действий, специфических для науки «Генетика»;</w:t>
      </w:r>
    </w:p>
    <w:p w:rsidR="009F7269" w:rsidRPr="009F7269" w:rsidRDefault="009F7269" w:rsidP="009F7269">
      <w:pPr>
        <w:keepNext/>
        <w:keepLines/>
        <w:widowControl w:val="0"/>
        <w:numPr>
          <w:ilvl w:val="1"/>
          <w:numId w:val="62"/>
        </w:numPr>
        <w:tabs>
          <w:tab w:val="left" w:pos="128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виды деятельности по получению нового знания, его интерпретации, преобразованию и применению в различных учебных ситуациях и реальных жизненных условия.</w:t>
      </w:r>
    </w:p>
    <w:p w:rsidR="009F7269" w:rsidRPr="009F7269" w:rsidRDefault="009F7269" w:rsidP="009F7269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Предметные результаты отражают сформированность: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раскрывать сущность основных понятий генетики: наследственность, изменчивость, фенотип, генотип, кариотип, гибрид, анализирующее скрещивание, сцепленное наследование, кроссинговер, ген, геном и др.;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раскрывать смысл основных положений ведущих биологических теорий, гипотез, закономерностей;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представлений о молекулярных и клеточных механизмах на следования генов; об основных правилах, законах и методах изучения наследственности; о закономерностях изменчивостиорганизмов.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использовать терминологию и символику генетики при разъяснении мер профилактики наследственных и вирусных заболеваний, последствий влияния факторов риска на здоровье человека;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применять полученные знания для моделирования и прогнозирования последствий значимых биологических исследований, решения генетических задач различного уровня сложности;</w:t>
      </w:r>
    </w:p>
    <w:p w:rsidR="009F7269" w:rsidRPr="009F7269" w:rsidRDefault="009F7269" w:rsidP="009F7269">
      <w:pPr>
        <w:keepNext/>
        <w:keepLines/>
        <w:widowControl w:val="0"/>
        <w:numPr>
          <w:ilvl w:val="0"/>
          <w:numId w:val="61"/>
        </w:numPr>
        <w:tabs>
          <w:tab w:val="left" w:pos="1276"/>
        </w:tabs>
        <w:spacing w:line="240" w:lineRule="auto"/>
        <w:jc w:val="both"/>
        <w:outlineLvl w:val="0"/>
        <w:rPr>
          <w:rFonts w:ascii="Times New Roman" w:eastAsia="SchoolBookSanPin" w:hAnsi="Times New Roman"/>
          <w:sz w:val="26"/>
          <w:szCs w:val="26"/>
          <w:lang w:eastAsia="x-none"/>
        </w:rPr>
      </w:pPr>
      <w:r w:rsidRPr="009F7269">
        <w:rPr>
          <w:rFonts w:ascii="Times New Roman" w:eastAsia="SchoolBookSanPin" w:hAnsi="Times New Roman"/>
          <w:sz w:val="26"/>
          <w:szCs w:val="26"/>
          <w:lang w:eastAsia="x-none"/>
        </w:rPr>
        <w:t>умения ориентироваться в системе познавательных ценностей, составляющих основу генетической грамотности, иллюстрировать понимание связи между биологическими науками, основу которой составляет общность методов научного познания явлений живой природы.</w:t>
      </w:r>
    </w:p>
    <w:p w:rsidR="009F7269" w:rsidRDefault="009F7269" w:rsidP="009F7269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F7269" w:rsidRDefault="009F7269" w:rsidP="009F7269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9F7269" w:rsidRPr="009F7269" w:rsidRDefault="009F7269" w:rsidP="009F7269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9F7269">
        <w:rPr>
          <w:rFonts w:ascii="Times New Roman" w:hAnsi="Times New Roman"/>
          <w:b/>
          <w:sz w:val="26"/>
          <w:szCs w:val="26"/>
        </w:rPr>
        <w:t>III.Тематическое планирование</w:t>
      </w:r>
    </w:p>
    <w:tbl>
      <w:tblPr>
        <w:tblW w:w="1073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551"/>
        <w:gridCol w:w="1418"/>
        <w:gridCol w:w="1277"/>
        <w:gridCol w:w="1447"/>
        <w:gridCol w:w="3231"/>
      </w:tblGrid>
      <w:tr w:rsidR="009F7269" w:rsidRPr="009F7269" w:rsidTr="009F7269">
        <w:trPr>
          <w:trHeight w:val="330"/>
        </w:trPr>
        <w:tc>
          <w:tcPr>
            <w:tcW w:w="811" w:type="dxa"/>
            <w:vMerge w:val="restart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lastRenderedPageBreak/>
              <w:t>№</w:t>
            </w:r>
          </w:p>
        </w:tc>
        <w:tc>
          <w:tcPr>
            <w:tcW w:w="2551" w:type="dxa"/>
            <w:vMerge w:val="restart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>Тема</w:t>
            </w:r>
          </w:p>
        </w:tc>
        <w:tc>
          <w:tcPr>
            <w:tcW w:w="4142" w:type="dxa"/>
            <w:gridSpan w:val="3"/>
            <w:tcBorders>
              <w:bottom w:val="single" w:sz="4" w:space="0" w:color="auto"/>
            </w:tcBorders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>Количество часов</w:t>
            </w:r>
          </w:p>
        </w:tc>
        <w:tc>
          <w:tcPr>
            <w:tcW w:w="3231" w:type="dxa"/>
            <w:vMerge w:val="restart"/>
            <w:vAlign w:val="center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Электронные (цифровые) образовательные ресурсы </w:t>
            </w:r>
          </w:p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9F7269" w:rsidRPr="009F7269" w:rsidTr="009F7269">
        <w:trPr>
          <w:trHeight w:val="207"/>
        </w:trPr>
        <w:tc>
          <w:tcPr>
            <w:tcW w:w="811" w:type="dxa"/>
            <w:vMerge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2551" w:type="dxa"/>
            <w:vMerge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Контрольные работы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Практические работы</w:t>
            </w:r>
          </w:p>
        </w:tc>
        <w:tc>
          <w:tcPr>
            <w:tcW w:w="3231" w:type="dxa"/>
            <w:vMerge/>
            <w:vAlign w:val="center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9F7269" w:rsidRPr="009F7269" w:rsidTr="009F7269">
        <w:trPr>
          <w:trHeight w:val="1110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551" w:type="dxa"/>
          </w:tcPr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Модуль 1. Нуклеиновые кислоты – основа наследственности</w:t>
            </w:r>
          </w:p>
        </w:tc>
        <w:tc>
          <w:tcPr>
            <w:tcW w:w="1418" w:type="dxa"/>
            <w:vAlign w:val="center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  <w:vAlign w:val="center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8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369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551" w:type="dxa"/>
          </w:tcPr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Модуль 2. Локализация наследственной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информации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18" w:type="dxa"/>
            <w:vAlign w:val="center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9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635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551" w:type="dxa"/>
          </w:tcPr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Модуль </w:t>
            </w: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3. Реализация наследственной информации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8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0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738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551" w:type="dxa"/>
          </w:tcPr>
          <w:p w:rsid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Модуль 4.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Генетика развития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10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1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741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551" w:type="dxa"/>
          </w:tcPr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Модуль 5. Молекулярно-генетические методы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2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369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551" w:type="dxa"/>
          </w:tcPr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Модуль 6. Секвенирование нового поколения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3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741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551" w:type="dxa"/>
          </w:tcPr>
          <w:p w:rsid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Модуль 7. 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Генная инженерия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8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4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371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8</w:t>
            </w:r>
          </w:p>
        </w:tc>
        <w:tc>
          <w:tcPr>
            <w:tcW w:w="2551" w:type="dxa"/>
          </w:tcPr>
          <w:p w:rsid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Модуль 8. 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Генетика человека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12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5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371"/>
        </w:trPr>
        <w:tc>
          <w:tcPr>
            <w:tcW w:w="81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278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9</w:t>
            </w:r>
          </w:p>
        </w:tc>
        <w:tc>
          <w:tcPr>
            <w:tcW w:w="2551" w:type="dxa"/>
          </w:tcPr>
          <w:p w:rsid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Модуль 9. </w:t>
            </w:r>
          </w:p>
          <w:p w:rsidR="009F7269" w:rsidRPr="009F7269" w:rsidRDefault="009F7269" w:rsidP="009F7269">
            <w:pPr>
              <w:keepNext/>
              <w:keepLines/>
              <w:tabs>
                <w:tab w:val="left" w:pos="1276"/>
              </w:tabs>
              <w:spacing w:line="240" w:lineRule="auto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Генетика спорта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rPr>
                <w:sz w:val="26"/>
                <w:szCs w:val="26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6" w:history="1">
              <w:r w:rsidRPr="009F7269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9F7269" w:rsidRPr="009F7269" w:rsidTr="009F7269">
        <w:trPr>
          <w:trHeight w:val="371"/>
        </w:trPr>
        <w:tc>
          <w:tcPr>
            <w:tcW w:w="3362" w:type="dxa"/>
            <w:gridSpan w:val="2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Общее количество часов</w:t>
            </w:r>
          </w:p>
        </w:tc>
        <w:tc>
          <w:tcPr>
            <w:tcW w:w="1418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center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9F7269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68</w:t>
            </w:r>
          </w:p>
        </w:tc>
        <w:tc>
          <w:tcPr>
            <w:tcW w:w="127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447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31" w:type="dxa"/>
          </w:tcPr>
          <w:p w:rsidR="009F7269" w:rsidRPr="009F7269" w:rsidRDefault="009F7269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</w:tbl>
    <w:p w:rsidR="009F7269" w:rsidRPr="009F7269" w:rsidRDefault="009F7269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9F7269" w:rsidRPr="009F7269" w:rsidSect="000E4896">
      <w:footerReference w:type="even" r:id="rId17"/>
      <w:footerReference w:type="default" r:id="rId18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EB" w:rsidRDefault="00CB33EB" w:rsidP="00A21F86">
      <w:pPr>
        <w:spacing w:line="240" w:lineRule="auto"/>
      </w:pPr>
      <w:r>
        <w:separator/>
      </w:r>
    </w:p>
  </w:endnote>
  <w:endnote w:type="continuationSeparator" w:id="0">
    <w:p w:rsidR="00CB33EB" w:rsidRDefault="00CB33EB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EB" w:rsidRDefault="00CB33EB" w:rsidP="00A21F86">
      <w:pPr>
        <w:spacing w:line="240" w:lineRule="auto"/>
      </w:pPr>
      <w:r>
        <w:separator/>
      </w:r>
    </w:p>
  </w:footnote>
  <w:footnote w:type="continuationSeparator" w:id="0">
    <w:p w:rsidR="00CB33EB" w:rsidRDefault="00CB33EB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1776AC2"/>
    <w:multiLevelType w:val="hybridMultilevel"/>
    <w:tmpl w:val="B76C4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08A006FC"/>
    <w:multiLevelType w:val="multilevel"/>
    <w:tmpl w:val="48544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97C7C86"/>
    <w:multiLevelType w:val="multilevel"/>
    <w:tmpl w:val="FB76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6822339"/>
    <w:multiLevelType w:val="multilevel"/>
    <w:tmpl w:val="E814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9" w15:restartNumberingAfterBreak="0">
    <w:nsid w:val="1B787319"/>
    <w:multiLevelType w:val="hybridMultilevel"/>
    <w:tmpl w:val="A8928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1EEC75DC"/>
    <w:multiLevelType w:val="hybridMultilevel"/>
    <w:tmpl w:val="AF4688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1433E48"/>
    <w:multiLevelType w:val="hybridMultilevel"/>
    <w:tmpl w:val="2182ED00"/>
    <w:lvl w:ilvl="0" w:tplc="A07E8C10">
      <w:start w:val="1"/>
      <w:numFmt w:val="decimal"/>
      <w:lvlText w:val="%1)"/>
      <w:lvlJc w:val="left"/>
      <w:pPr>
        <w:ind w:left="601" w:hanging="26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D20813AC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9DA15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64E065B8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E220860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5FCCB356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A09E3FDA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E2102952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FA601EE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218E6D72"/>
    <w:multiLevelType w:val="hybridMultilevel"/>
    <w:tmpl w:val="1BDA018E"/>
    <w:lvl w:ilvl="0" w:tplc="F2006DAA">
      <w:numFmt w:val="bullet"/>
      <w:lvlText w:val=""/>
      <w:lvlJc w:val="left"/>
      <w:pPr>
        <w:ind w:left="1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F028256">
      <w:numFmt w:val="bullet"/>
      <w:lvlText w:val=""/>
      <w:lvlJc w:val="left"/>
      <w:pPr>
        <w:ind w:left="128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924BBC4">
      <w:numFmt w:val="bullet"/>
      <w:lvlText w:val="•"/>
      <w:lvlJc w:val="left"/>
      <w:pPr>
        <w:ind w:left="2227" w:hanging="360"/>
      </w:pPr>
      <w:rPr>
        <w:rFonts w:hint="default"/>
        <w:lang w:val="ru-RU" w:eastAsia="en-US" w:bidi="ar-SA"/>
      </w:rPr>
    </w:lvl>
    <w:lvl w:ilvl="3" w:tplc="D898D51A">
      <w:numFmt w:val="bullet"/>
      <w:lvlText w:val="•"/>
      <w:lvlJc w:val="left"/>
      <w:pPr>
        <w:ind w:left="3174" w:hanging="360"/>
      </w:pPr>
      <w:rPr>
        <w:rFonts w:hint="default"/>
        <w:lang w:val="ru-RU" w:eastAsia="en-US" w:bidi="ar-SA"/>
      </w:rPr>
    </w:lvl>
    <w:lvl w:ilvl="4" w:tplc="D83276FE">
      <w:numFmt w:val="bullet"/>
      <w:lvlText w:val="•"/>
      <w:lvlJc w:val="left"/>
      <w:pPr>
        <w:ind w:left="4122" w:hanging="360"/>
      </w:pPr>
      <w:rPr>
        <w:rFonts w:hint="default"/>
        <w:lang w:val="ru-RU" w:eastAsia="en-US" w:bidi="ar-SA"/>
      </w:rPr>
    </w:lvl>
    <w:lvl w:ilvl="5" w:tplc="86A021F8">
      <w:numFmt w:val="bullet"/>
      <w:lvlText w:val="•"/>
      <w:lvlJc w:val="left"/>
      <w:pPr>
        <w:ind w:left="5069" w:hanging="360"/>
      </w:pPr>
      <w:rPr>
        <w:rFonts w:hint="default"/>
        <w:lang w:val="ru-RU" w:eastAsia="en-US" w:bidi="ar-SA"/>
      </w:rPr>
    </w:lvl>
    <w:lvl w:ilvl="6" w:tplc="81644E32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506CD63E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8" w:tplc="8AF2FDD2">
      <w:numFmt w:val="bullet"/>
      <w:lvlText w:val="•"/>
      <w:lvlJc w:val="left"/>
      <w:pPr>
        <w:ind w:left="791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22B35D4B"/>
    <w:multiLevelType w:val="hybridMultilevel"/>
    <w:tmpl w:val="944479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D74EF4"/>
    <w:multiLevelType w:val="multilevel"/>
    <w:tmpl w:val="0BEC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9" w15:restartNumberingAfterBreak="0">
    <w:nsid w:val="26400DC5"/>
    <w:multiLevelType w:val="hybridMultilevel"/>
    <w:tmpl w:val="E15E5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5C3497"/>
    <w:multiLevelType w:val="hybridMultilevel"/>
    <w:tmpl w:val="870C6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766C03"/>
    <w:multiLevelType w:val="hybridMultilevel"/>
    <w:tmpl w:val="D820F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185420"/>
    <w:multiLevelType w:val="hybridMultilevel"/>
    <w:tmpl w:val="20A25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EA5BC0"/>
    <w:multiLevelType w:val="hybridMultilevel"/>
    <w:tmpl w:val="42204DD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6B7B32"/>
    <w:multiLevelType w:val="hybridMultilevel"/>
    <w:tmpl w:val="0472D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1" w15:restartNumberingAfterBreak="0">
    <w:nsid w:val="429D51F3"/>
    <w:multiLevelType w:val="hybridMultilevel"/>
    <w:tmpl w:val="177C4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CA0F7A"/>
    <w:multiLevelType w:val="hybridMultilevel"/>
    <w:tmpl w:val="FA4A7B44"/>
    <w:lvl w:ilvl="0" w:tplc="0419000B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5" w15:restartNumberingAfterBreak="0">
    <w:nsid w:val="4BB528FB"/>
    <w:multiLevelType w:val="hybridMultilevel"/>
    <w:tmpl w:val="B3A656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755716"/>
    <w:multiLevelType w:val="hybridMultilevel"/>
    <w:tmpl w:val="78689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8" w15:restartNumberingAfterBreak="0">
    <w:nsid w:val="5B4373BE"/>
    <w:multiLevelType w:val="multilevel"/>
    <w:tmpl w:val="1DD6E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51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3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4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1C5592E"/>
    <w:multiLevelType w:val="hybridMultilevel"/>
    <w:tmpl w:val="F6D86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23570A"/>
    <w:multiLevelType w:val="multilevel"/>
    <w:tmpl w:val="E7486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A8198B"/>
    <w:multiLevelType w:val="hybridMultilevel"/>
    <w:tmpl w:val="5BE25C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61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2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3"/>
  </w:num>
  <w:num w:numId="5">
    <w:abstractNumId w:val="34"/>
  </w:num>
  <w:num w:numId="6">
    <w:abstractNumId w:val="54"/>
  </w:num>
  <w:num w:numId="7">
    <w:abstractNumId w:val="5"/>
  </w:num>
  <w:num w:numId="8">
    <w:abstractNumId w:val="40"/>
  </w:num>
  <w:num w:numId="9">
    <w:abstractNumId w:val="16"/>
  </w:num>
  <w:num w:numId="10">
    <w:abstractNumId w:val="20"/>
  </w:num>
  <w:num w:numId="11">
    <w:abstractNumId w:val="30"/>
  </w:num>
  <w:num w:numId="12">
    <w:abstractNumId w:val="7"/>
  </w:num>
  <w:num w:numId="13">
    <w:abstractNumId w:val="14"/>
  </w:num>
  <w:num w:numId="14">
    <w:abstractNumId w:val="12"/>
  </w:num>
  <w:num w:numId="15">
    <w:abstractNumId w:val="52"/>
  </w:num>
  <w:num w:numId="16">
    <w:abstractNumId w:val="49"/>
  </w:num>
  <w:num w:numId="17">
    <w:abstractNumId w:val="53"/>
  </w:num>
  <w:num w:numId="18">
    <w:abstractNumId w:val="44"/>
  </w:num>
  <w:num w:numId="19">
    <w:abstractNumId w:val="31"/>
  </w:num>
  <w:num w:numId="20">
    <w:abstractNumId w:val="43"/>
  </w:num>
  <w:num w:numId="21">
    <w:abstractNumId w:val="62"/>
  </w:num>
  <w:num w:numId="22">
    <w:abstractNumId w:val="50"/>
  </w:num>
  <w:num w:numId="23">
    <w:abstractNumId w:val="60"/>
  </w:num>
  <w:num w:numId="24">
    <w:abstractNumId w:val="57"/>
  </w:num>
  <w:num w:numId="25">
    <w:abstractNumId w:val="39"/>
  </w:num>
  <w:num w:numId="26">
    <w:abstractNumId w:val="35"/>
  </w:num>
  <w:num w:numId="27">
    <w:abstractNumId w:val="51"/>
  </w:num>
  <w:num w:numId="28">
    <w:abstractNumId w:val="28"/>
  </w:num>
  <w:num w:numId="29">
    <w:abstractNumId w:val="61"/>
  </w:num>
  <w:num w:numId="30">
    <w:abstractNumId w:val="6"/>
  </w:num>
  <w:num w:numId="31">
    <w:abstractNumId w:val="11"/>
  </w:num>
  <w:num w:numId="32">
    <w:abstractNumId w:val="47"/>
  </w:num>
  <w:num w:numId="33">
    <w:abstractNumId w:val="18"/>
  </w:num>
  <w:num w:numId="34">
    <w:abstractNumId w:val="9"/>
  </w:num>
  <w:num w:numId="35">
    <w:abstractNumId w:val="4"/>
  </w:num>
  <w:num w:numId="36">
    <w:abstractNumId w:val="27"/>
  </w:num>
  <w:num w:numId="37">
    <w:abstractNumId w:val="55"/>
  </w:num>
  <w:num w:numId="38">
    <w:abstractNumId w:val="63"/>
  </w:num>
  <w:num w:numId="39">
    <w:abstractNumId w:val="45"/>
  </w:num>
  <w:num w:numId="40">
    <w:abstractNumId w:val="41"/>
  </w:num>
  <w:num w:numId="41">
    <w:abstractNumId w:val="25"/>
  </w:num>
  <w:num w:numId="42">
    <w:abstractNumId w:val="36"/>
  </w:num>
  <w:num w:numId="43">
    <w:abstractNumId w:val="3"/>
  </w:num>
  <w:num w:numId="44">
    <w:abstractNumId w:val="32"/>
  </w:num>
  <w:num w:numId="45">
    <w:abstractNumId w:val="56"/>
  </w:num>
  <w:num w:numId="46">
    <w:abstractNumId w:val="37"/>
  </w:num>
  <w:num w:numId="47">
    <w:abstractNumId w:val="38"/>
  </w:num>
  <w:num w:numId="48">
    <w:abstractNumId w:val="59"/>
  </w:num>
  <w:num w:numId="49">
    <w:abstractNumId w:val="19"/>
  </w:num>
  <w:num w:numId="50">
    <w:abstractNumId w:val="29"/>
  </w:num>
  <w:num w:numId="51">
    <w:abstractNumId w:val="42"/>
  </w:num>
  <w:num w:numId="52">
    <w:abstractNumId w:val="33"/>
  </w:num>
  <w:num w:numId="53">
    <w:abstractNumId w:val="21"/>
  </w:num>
  <w:num w:numId="54">
    <w:abstractNumId w:val="46"/>
  </w:num>
  <w:num w:numId="55">
    <w:abstractNumId w:val="26"/>
  </w:num>
  <w:num w:numId="56">
    <w:abstractNumId w:val="58"/>
  </w:num>
  <w:num w:numId="57">
    <w:abstractNumId w:val="48"/>
  </w:num>
  <w:num w:numId="58">
    <w:abstractNumId w:val="8"/>
  </w:num>
  <w:num w:numId="59">
    <w:abstractNumId w:val="17"/>
  </w:num>
  <w:num w:numId="60">
    <w:abstractNumId w:val="10"/>
  </w:num>
  <w:num w:numId="61">
    <w:abstractNumId w:val="23"/>
  </w:num>
  <w:num w:numId="62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278C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10D4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2AB0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0768F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5F06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9F7269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3C4C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97782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5A2F"/>
    <w:rsid w:val="00BC680B"/>
    <w:rsid w:val="00BD06EC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2BBC"/>
    <w:rsid w:val="00CB319A"/>
    <w:rsid w:val="00CB33EB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E6869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23923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3025C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ffffffff9">
    <w:basedOn w:val="1f"/>
    <w:next w:val="1f"/>
    <w:uiPriority w:val="10"/>
    <w:qFormat/>
    <w:rsid w:val="00BD06EC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affffffffa">
    <w:name w:val="Знак"/>
    <w:basedOn w:val="a3"/>
    <w:rsid w:val="00BD06EC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6a">
    <w:name w:val="Абзац списка6"/>
    <w:basedOn w:val="a3"/>
    <w:rsid w:val="00BD06EC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4f9">
    <w:name w:val="Без интервала4"/>
    <w:rsid w:val="00BD06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35">
    <w:name w:val="Заголовок 3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34">
    <w:name w:val="Оглавление 13"/>
    <w:basedOn w:val="a3"/>
    <w:uiPriority w:val="1"/>
    <w:qFormat/>
    <w:rsid w:val="00BD06EC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35">
    <w:name w:val="Оглавление 23"/>
    <w:basedOn w:val="a3"/>
    <w:uiPriority w:val="1"/>
    <w:qFormat/>
    <w:rsid w:val="00BD06EC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35">
    <w:name w:val="Заголовок 1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36">
    <w:name w:val="Заголовок 2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48d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8d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8d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8d0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A8FF4-A3CD-47C0-AF4F-07A617BA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11</cp:revision>
  <cp:lastPrinted>2023-10-09T09:57:00Z</cp:lastPrinted>
  <dcterms:created xsi:type="dcterms:W3CDTF">2024-07-23T07:00:00Z</dcterms:created>
  <dcterms:modified xsi:type="dcterms:W3CDTF">2024-07-25T06:18:00Z</dcterms:modified>
</cp:coreProperties>
</file>